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01A" w:rsidRDefault="0073001A" w:rsidP="00902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73001A">
        <w:rPr>
          <w:rFonts w:ascii="Arial" w:hAnsi="Arial" w:cs="Arial"/>
          <w:b/>
          <w:sz w:val="28"/>
          <w:szCs w:val="28"/>
        </w:rPr>
        <w:t xml:space="preserve">PROJET DELIBERATION </w:t>
      </w:r>
      <w:r>
        <w:rPr>
          <w:rFonts w:ascii="Arial" w:hAnsi="Arial" w:cs="Arial"/>
          <w:b/>
          <w:sz w:val="28"/>
          <w:szCs w:val="28"/>
        </w:rPr>
        <w:t>RELATIF A LA DEFINITION DU TEMPS</w:t>
      </w:r>
      <w:r w:rsidRPr="0073001A">
        <w:rPr>
          <w:rFonts w:ascii="Arial" w:hAnsi="Arial" w:cs="Arial"/>
          <w:b/>
          <w:sz w:val="28"/>
          <w:szCs w:val="28"/>
        </w:rPr>
        <w:t xml:space="preserve"> DE TRAVAIL</w:t>
      </w:r>
    </w:p>
    <w:p w:rsidR="004818E2" w:rsidRDefault="004818E2" w:rsidP="00902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COLLECTIVITE OU ETABLISSEMENT :</w:t>
      </w:r>
    </w:p>
    <w:p w:rsidR="004818E2" w:rsidRPr="00902431" w:rsidRDefault="004818E2" w:rsidP="00902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818E2">
        <w:rPr>
          <w:rFonts w:ascii="Arial" w:hAnsi="Arial" w:cs="Arial"/>
          <w:b/>
          <w:sz w:val="28"/>
          <w:szCs w:val="28"/>
          <w:highlight w:val="yellow"/>
        </w:rPr>
        <w:t>……………………………………………………………………..</w:t>
      </w:r>
    </w:p>
    <w:p w:rsidR="0073001A" w:rsidRPr="0073001A" w:rsidRDefault="0073001A" w:rsidP="0073001A">
      <w:pPr>
        <w:pStyle w:val="VuConsidrant"/>
        <w:spacing w:after="0"/>
        <w:rPr>
          <w:sz w:val="22"/>
          <w:szCs w:val="22"/>
        </w:rPr>
      </w:pPr>
      <w:r w:rsidRPr="0073001A">
        <w:rPr>
          <w:sz w:val="22"/>
          <w:szCs w:val="22"/>
        </w:rPr>
        <w:t>Vu le Code général des collectivités territoriales</w:t>
      </w:r>
      <w:r w:rsidR="00517828">
        <w:rPr>
          <w:sz w:val="22"/>
          <w:szCs w:val="22"/>
        </w:rPr>
        <w:t>,</w:t>
      </w:r>
      <w:r w:rsidRPr="0073001A">
        <w:rPr>
          <w:sz w:val="22"/>
          <w:szCs w:val="22"/>
        </w:rPr>
        <w:t> </w:t>
      </w:r>
    </w:p>
    <w:p w:rsidR="0073001A" w:rsidRPr="0073001A" w:rsidRDefault="0073001A" w:rsidP="0073001A">
      <w:pPr>
        <w:pStyle w:val="VuConsidrant"/>
        <w:spacing w:after="0"/>
        <w:rPr>
          <w:sz w:val="22"/>
          <w:szCs w:val="22"/>
        </w:rPr>
      </w:pPr>
    </w:p>
    <w:p w:rsidR="0073001A" w:rsidRDefault="0073001A" w:rsidP="0073001A">
      <w:pPr>
        <w:pStyle w:val="VuConsidrant"/>
        <w:spacing w:after="0"/>
        <w:rPr>
          <w:sz w:val="22"/>
          <w:szCs w:val="22"/>
        </w:rPr>
      </w:pPr>
      <w:r w:rsidRPr="0073001A">
        <w:rPr>
          <w:sz w:val="22"/>
          <w:szCs w:val="22"/>
        </w:rPr>
        <w:t xml:space="preserve">Vu </w:t>
      </w:r>
      <w:r w:rsidR="002D1F3E">
        <w:rPr>
          <w:sz w:val="22"/>
          <w:szCs w:val="22"/>
        </w:rPr>
        <w:t xml:space="preserve">le code général de la fonction publique (anciennement </w:t>
      </w:r>
      <w:r w:rsidRPr="0073001A">
        <w:rPr>
          <w:sz w:val="22"/>
          <w:szCs w:val="22"/>
        </w:rPr>
        <w:t>l</w:t>
      </w:r>
      <w:r w:rsidR="002D1F3E">
        <w:rPr>
          <w:sz w:val="22"/>
          <w:szCs w:val="22"/>
        </w:rPr>
        <w:t>es</w:t>
      </w:r>
      <w:r w:rsidRPr="0073001A">
        <w:rPr>
          <w:sz w:val="22"/>
          <w:szCs w:val="22"/>
        </w:rPr>
        <w:t xml:space="preserve"> loi</w:t>
      </w:r>
      <w:r w:rsidR="002D1F3E">
        <w:rPr>
          <w:sz w:val="22"/>
          <w:szCs w:val="22"/>
        </w:rPr>
        <w:t>s</w:t>
      </w:r>
      <w:r w:rsidRPr="0073001A">
        <w:rPr>
          <w:sz w:val="22"/>
          <w:szCs w:val="22"/>
        </w:rPr>
        <w:t xml:space="preserve"> 83-634 du 13 juillet 1983 portant droits et obligations des fonctionnaires</w:t>
      </w:r>
      <w:r w:rsidR="002D1F3E">
        <w:rPr>
          <w:sz w:val="22"/>
          <w:szCs w:val="22"/>
        </w:rPr>
        <w:t xml:space="preserve"> et </w:t>
      </w:r>
      <w:r w:rsidRPr="0073001A">
        <w:rPr>
          <w:sz w:val="22"/>
          <w:szCs w:val="22"/>
        </w:rPr>
        <w:t>84-53 du 26 janvier 1984 portant dispositions statutaires relatives à la fonction publique territoriale</w:t>
      </w:r>
      <w:r w:rsidR="002D1F3E">
        <w:rPr>
          <w:sz w:val="22"/>
          <w:szCs w:val="22"/>
        </w:rPr>
        <w:t>)</w:t>
      </w:r>
      <w:r w:rsidR="00517828">
        <w:rPr>
          <w:sz w:val="22"/>
          <w:szCs w:val="22"/>
        </w:rPr>
        <w:t>,</w:t>
      </w:r>
      <w:r w:rsidRPr="0073001A">
        <w:rPr>
          <w:sz w:val="22"/>
          <w:szCs w:val="22"/>
        </w:rPr>
        <w:t> </w:t>
      </w:r>
    </w:p>
    <w:p w:rsidR="0073001A" w:rsidRDefault="0073001A" w:rsidP="0073001A">
      <w:pPr>
        <w:pStyle w:val="Default"/>
      </w:pPr>
    </w:p>
    <w:p w:rsidR="0073001A" w:rsidRDefault="0073001A" w:rsidP="0073001A">
      <w:pPr>
        <w:pStyle w:val="Default"/>
      </w:pPr>
      <w:r w:rsidRPr="0073001A">
        <w:rPr>
          <w:rFonts w:ascii="Arial" w:hAnsi="Arial" w:cs="Arial"/>
          <w:sz w:val="22"/>
          <w:szCs w:val="22"/>
        </w:rPr>
        <w:t xml:space="preserve">Vu la loi n° 2004-626 du 30 juin 2004 relative à la solidarité pour l’autonomie des personnes âgées et des personnes handicapées, </w:t>
      </w:r>
    </w:p>
    <w:p w:rsidR="0073001A" w:rsidRDefault="0073001A" w:rsidP="0073001A">
      <w:pPr>
        <w:pStyle w:val="Default"/>
      </w:pPr>
    </w:p>
    <w:p w:rsidR="0073001A" w:rsidRPr="0073001A" w:rsidRDefault="0073001A" w:rsidP="0073001A">
      <w:pPr>
        <w:pStyle w:val="Default"/>
        <w:rPr>
          <w:rFonts w:ascii="Arial" w:hAnsi="Arial" w:cs="Arial"/>
        </w:rPr>
      </w:pPr>
      <w:r w:rsidRPr="0073001A">
        <w:rPr>
          <w:rFonts w:ascii="Arial" w:hAnsi="Arial" w:cs="Arial"/>
          <w:sz w:val="22"/>
          <w:szCs w:val="22"/>
        </w:rPr>
        <w:t>Vu la</w:t>
      </w:r>
      <w:r w:rsidRPr="0073001A">
        <w:rPr>
          <w:rFonts w:ascii="Arial" w:hAnsi="Arial" w:cs="Arial"/>
        </w:rPr>
        <w:t xml:space="preserve"> </w:t>
      </w:r>
      <w:r w:rsidRPr="0073001A">
        <w:rPr>
          <w:rFonts w:ascii="Arial" w:hAnsi="Arial" w:cs="Arial"/>
          <w:sz w:val="22"/>
          <w:szCs w:val="22"/>
        </w:rPr>
        <w:t xml:space="preserve">loi n° 2010-1657 du 29 décembre 2010 de finances pour 2011, notamment son article 115, </w:t>
      </w:r>
    </w:p>
    <w:p w:rsidR="0073001A" w:rsidRPr="0073001A" w:rsidRDefault="0073001A" w:rsidP="0073001A">
      <w:pPr>
        <w:pStyle w:val="VuConsidrant"/>
        <w:spacing w:after="0"/>
        <w:rPr>
          <w:sz w:val="22"/>
          <w:szCs w:val="22"/>
        </w:rPr>
      </w:pPr>
    </w:p>
    <w:p w:rsidR="0073001A" w:rsidRDefault="0073001A" w:rsidP="0073001A">
      <w:pPr>
        <w:pStyle w:val="VuConsidrant"/>
        <w:spacing w:after="0"/>
        <w:rPr>
          <w:sz w:val="22"/>
          <w:szCs w:val="22"/>
        </w:rPr>
      </w:pPr>
      <w:r w:rsidRPr="0073001A">
        <w:rPr>
          <w:sz w:val="22"/>
          <w:szCs w:val="22"/>
        </w:rPr>
        <w:t>Vu la loi du 6 août 2019 de transformation de la fonction publique (article 47)</w:t>
      </w:r>
      <w:r w:rsidR="00517828">
        <w:rPr>
          <w:sz w:val="22"/>
          <w:szCs w:val="22"/>
        </w:rPr>
        <w:t>,</w:t>
      </w:r>
    </w:p>
    <w:p w:rsidR="0073001A" w:rsidRDefault="0073001A" w:rsidP="0073001A">
      <w:pPr>
        <w:pStyle w:val="VuConsidrant"/>
        <w:spacing w:after="0"/>
        <w:rPr>
          <w:sz w:val="22"/>
          <w:szCs w:val="22"/>
        </w:rPr>
      </w:pPr>
    </w:p>
    <w:p w:rsidR="0073001A" w:rsidRPr="0073001A" w:rsidRDefault="0073001A" w:rsidP="0073001A">
      <w:pPr>
        <w:pStyle w:val="Default"/>
        <w:rPr>
          <w:rFonts w:ascii="Arial" w:hAnsi="Arial" w:cs="Arial"/>
          <w:sz w:val="22"/>
          <w:szCs w:val="22"/>
        </w:rPr>
      </w:pPr>
      <w:r w:rsidRPr="0073001A">
        <w:rPr>
          <w:rFonts w:ascii="Arial" w:hAnsi="Arial" w:cs="Arial"/>
          <w:sz w:val="22"/>
          <w:szCs w:val="22"/>
        </w:rPr>
        <w:t xml:space="preserve">Vu le décret n° 85-1250 du 26 novembre 1985 relatif aux congés annuels, </w:t>
      </w:r>
    </w:p>
    <w:p w:rsidR="0073001A" w:rsidRPr="0073001A" w:rsidRDefault="0073001A" w:rsidP="0073001A">
      <w:pPr>
        <w:pStyle w:val="VuConsidrant"/>
        <w:spacing w:after="0"/>
        <w:rPr>
          <w:sz w:val="22"/>
          <w:szCs w:val="22"/>
        </w:rPr>
      </w:pPr>
    </w:p>
    <w:p w:rsidR="0073001A" w:rsidRPr="0073001A" w:rsidRDefault="0073001A" w:rsidP="0073001A">
      <w:pPr>
        <w:pStyle w:val="VuConsidrant"/>
        <w:spacing w:after="0"/>
        <w:rPr>
          <w:sz w:val="22"/>
          <w:szCs w:val="22"/>
        </w:rPr>
      </w:pPr>
      <w:r w:rsidRPr="0073001A">
        <w:rPr>
          <w:sz w:val="22"/>
          <w:szCs w:val="22"/>
        </w:rPr>
        <w:t>Vu le décret n° 2000-815 du 25 août 2000 relatif à l'aménagement et à la réduction du temps de travail dans</w:t>
      </w:r>
      <w:r w:rsidR="00517828">
        <w:rPr>
          <w:sz w:val="22"/>
          <w:szCs w:val="22"/>
        </w:rPr>
        <w:t xml:space="preserve"> la fonction publique de l'Etat,</w:t>
      </w:r>
    </w:p>
    <w:p w:rsidR="0073001A" w:rsidRPr="0073001A" w:rsidRDefault="0073001A" w:rsidP="0073001A">
      <w:pPr>
        <w:pStyle w:val="VuConsidrant"/>
        <w:spacing w:after="0"/>
        <w:rPr>
          <w:sz w:val="22"/>
          <w:szCs w:val="22"/>
        </w:rPr>
      </w:pPr>
    </w:p>
    <w:p w:rsidR="0073001A" w:rsidRPr="0073001A" w:rsidRDefault="0073001A" w:rsidP="0073001A">
      <w:pPr>
        <w:pStyle w:val="VuConsidrant"/>
        <w:spacing w:after="0"/>
        <w:rPr>
          <w:sz w:val="22"/>
          <w:szCs w:val="22"/>
        </w:rPr>
      </w:pPr>
      <w:r w:rsidRPr="0073001A">
        <w:rPr>
          <w:sz w:val="22"/>
          <w:szCs w:val="22"/>
        </w:rPr>
        <w:t>Vu le décret n° 2001-623 du 12 juillet 2001 pris pour l’application de l’article 7-1 de la loi n° 84-53 du 26 janvier 1984 et relatif à l’aménagement et à la réduction du temps de travail dans la fonction publique territoriale</w:t>
      </w:r>
      <w:r w:rsidR="00517828">
        <w:rPr>
          <w:sz w:val="22"/>
          <w:szCs w:val="22"/>
        </w:rPr>
        <w:t>,</w:t>
      </w:r>
    </w:p>
    <w:p w:rsidR="0073001A" w:rsidRDefault="0073001A" w:rsidP="0073001A">
      <w:pPr>
        <w:pStyle w:val="VuConsidrant"/>
        <w:spacing w:after="0"/>
        <w:rPr>
          <w:rFonts w:ascii="Tahoma" w:hAnsi="Tahoma" w:cs="Tahoma"/>
          <w:sz w:val="22"/>
          <w:szCs w:val="22"/>
        </w:rPr>
      </w:pPr>
    </w:p>
    <w:p w:rsidR="0073001A" w:rsidRPr="00246A0D" w:rsidRDefault="0073001A" w:rsidP="00902431">
      <w:pPr>
        <w:pStyle w:val="VuConsidrant"/>
        <w:spacing w:after="0"/>
        <w:rPr>
          <w:rFonts w:ascii="Tahoma" w:hAnsi="Tahoma" w:cs="Tahoma"/>
          <w:sz w:val="22"/>
          <w:szCs w:val="22"/>
        </w:rPr>
      </w:pPr>
    </w:p>
    <w:p w:rsidR="00902431" w:rsidRPr="00517828" w:rsidRDefault="0073001A" w:rsidP="00902431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517828">
        <w:rPr>
          <w:rFonts w:ascii="Arial" w:hAnsi="Arial" w:cs="Arial"/>
          <w:sz w:val="22"/>
          <w:szCs w:val="22"/>
        </w:rPr>
        <w:t xml:space="preserve">Considérant l'avis </w:t>
      </w:r>
      <w:r w:rsidR="004C130F">
        <w:rPr>
          <w:rFonts w:ascii="Arial" w:hAnsi="Arial" w:cs="Arial"/>
          <w:sz w:val="22"/>
          <w:szCs w:val="22"/>
        </w:rPr>
        <w:t xml:space="preserve">favorable </w:t>
      </w:r>
      <w:r w:rsidRPr="00517828">
        <w:rPr>
          <w:rFonts w:ascii="Arial" w:hAnsi="Arial" w:cs="Arial"/>
          <w:sz w:val="22"/>
          <w:szCs w:val="22"/>
        </w:rPr>
        <w:t xml:space="preserve">du </w:t>
      </w:r>
      <w:r w:rsidR="008D0014">
        <w:rPr>
          <w:rFonts w:ascii="Arial" w:hAnsi="Arial" w:cs="Arial"/>
          <w:sz w:val="22"/>
          <w:szCs w:val="22"/>
        </w:rPr>
        <w:t>Comité Social Territorial</w:t>
      </w:r>
      <w:r w:rsidRPr="00517828">
        <w:rPr>
          <w:rFonts w:ascii="Arial" w:hAnsi="Arial" w:cs="Arial"/>
          <w:sz w:val="22"/>
          <w:szCs w:val="22"/>
        </w:rPr>
        <w:t xml:space="preserve"> </w:t>
      </w:r>
      <w:r w:rsidR="004C130F">
        <w:rPr>
          <w:rFonts w:ascii="Arial" w:hAnsi="Arial" w:cs="Arial"/>
          <w:sz w:val="22"/>
          <w:szCs w:val="22"/>
        </w:rPr>
        <w:t>par délégation à la Présidente</w:t>
      </w:r>
      <w:r w:rsidR="007D55DE">
        <w:rPr>
          <w:rFonts w:ascii="Arial" w:hAnsi="Arial" w:cs="Arial"/>
          <w:sz w:val="22"/>
          <w:szCs w:val="22"/>
        </w:rPr>
        <w:t xml:space="preserve"> du CDG21</w:t>
      </w:r>
    </w:p>
    <w:p w:rsidR="00902431" w:rsidRPr="00902431" w:rsidRDefault="00902431" w:rsidP="00902431">
      <w:pPr>
        <w:pStyle w:val="Textebrut"/>
        <w:jc w:val="both"/>
        <w:rPr>
          <w:rFonts w:ascii="Tahoma" w:hAnsi="Tahoma" w:cs="Tahoma"/>
          <w:sz w:val="22"/>
          <w:szCs w:val="22"/>
        </w:rPr>
      </w:pPr>
    </w:p>
    <w:p w:rsidR="00902431" w:rsidRDefault="0073001A" w:rsidP="00902431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</w:rPr>
      </w:pPr>
      <w:r w:rsidRPr="0073001A">
        <w:rPr>
          <w:rFonts w:ascii="Arial" w:hAnsi="Arial" w:cs="Arial"/>
        </w:rPr>
        <w:t xml:space="preserve">Il est proposé au conseil </w:t>
      </w:r>
      <w:r w:rsidRPr="007D55DE">
        <w:rPr>
          <w:rFonts w:ascii="Arial" w:hAnsi="Arial" w:cs="Arial"/>
          <w:highlight w:val="yellow"/>
        </w:rPr>
        <w:t>municipal</w:t>
      </w:r>
      <w:r w:rsidR="00660C96">
        <w:rPr>
          <w:rFonts w:ascii="Arial" w:hAnsi="Arial" w:cs="Arial"/>
          <w:highlight w:val="yellow"/>
        </w:rPr>
        <w:t>/Syndical</w:t>
      </w:r>
      <w:r w:rsidRPr="0073001A">
        <w:rPr>
          <w:rFonts w:ascii="Arial" w:hAnsi="Arial" w:cs="Arial"/>
        </w:rPr>
        <w:t xml:space="preserve"> </w:t>
      </w:r>
      <w:r w:rsidR="00DF41B0">
        <w:rPr>
          <w:rFonts w:ascii="Arial" w:hAnsi="Arial" w:cs="Arial"/>
        </w:rPr>
        <w:t>de définir le temps de travail</w:t>
      </w:r>
      <w:r w:rsidR="002F6A14">
        <w:rPr>
          <w:rFonts w:ascii="Arial" w:hAnsi="Arial" w:cs="Arial"/>
        </w:rPr>
        <w:t xml:space="preserve"> comme ci-après</w:t>
      </w:r>
      <w:r w:rsidR="00DF41B0">
        <w:rPr>
          <w:rFonts w:ascii="Arial" w:hAnsi="Arial" w:cs="Arial"/>
        </w:rPr>
        <w:t>,</w:t>
      </w:r>
    </w:p>
    <w:p w:rsidR="00902431" w:rsidRDefault="00902431" w:rsidP="00902431">
      <w:pPr>
        <w:tabs>
          <w:tab w:val="left" w:pos="1770"/>
        </w:tabs>
        <w:spacing w:after="0" w:line="240" w:lineRule="auto"/>
        <w:jc w:val="both"/>
        <w:rPr>
          <w:rFonts w:ascii="Arial" w:hAnsi="Arial" w:cs="Arial"/>
        </w:rPr>
      </w:pPr>
    </w:p>
    <w:p w:rsidR="00902431" w:rsidRDefault="00902431" w:rsidP="00902431">
      <w:pPr>
        <w:jc w:val="both"/>
        <w:rPr>
          <w:rFonts w:ascii="Arial" w:hAnsi="Arial" w:cs="Arial"/>
        </w:rPr>
      </w:pPr>
      <w:r w:rsidRPr="00CC420C">
        <w:rPr>
          <w:rFonts w:ascii="Arial" w:hAnsi="Arial" w:cs="Arial"/>
          <w:b/>
        </w:rPr>
        <w:t>L’organe délibérant, après en avoir délibéré,</w:t>
      </w:r>
      <w:r>
        <w:rPr>
          <w:rFonts w:ascii="Arial" w:hAnsi="Arial" w:cs="Arial"/>
          <w:b/>
        </w:rPr>
        <w:t xml:space="preserve"> </w:t>
      </w:r>
    </w:p>
    <w:p w:rsidR="00902431" w:rsidRPr="00CC420C" w:rsidRDefault="00902431" w:rsidP="00902431">
      <w:pPr>
        <w:jc w:val="both"/>
        <w:rPr>
          <w:rFonts w:ascii="Arial" w:hAnsi="Arial" w:cs="Arial"/>
        </w:rPr>
      </w:pPr>
      <w:r w:rsidRPr="00DE4E45">
        <w:rPr>
          <w:rFonts w:ascii="Arial" w:hAnsi="Arial" w:cs="Arial"/>
          <w:b/>
          <w:caps/>
        </w:rPr>
        <w:t>Décide</w:t>
      </w:r>
      <w:r w:rsidRPr="00CC420C">
        <w:rPr>
          <w:rFonts w:ascii="Arial" w:hAnsi="Arial" w:cs="Arial"/>
        </w:rPr>
        <w:t xml:space="preserve"> d’adopter le </w:t>
      </w:r>
      <w:r>
        <w:rPr>
          <w:rFonts w:ascii="Arial" w:hAnsi="Arial" w:cs="Arial"/>
        </w:rPr>
        <w:t>protocole ainsi proposé,</w:t>
      </w:r>
    </w:p>
    <w:p w:rsidR="00902431" w:rsidRDefault="00902431" w:rsidP="0051782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7462C">
        <w:rPr>
          <w:rFonts w:ascii="Arial" w:hAnsi="Arial" w:cs="Arial"/>
          <w:b/>
          <w:bCs/>
          <w:sz w:val="20"/>
          <w:szCs w:val="22"/>
        </w:rPr>
        <w:t>ADOPTÉ</w:t>
      </w:r>
      <w:r w:rsidRPr="00A7462C">
        <w:rPr>
          <w:rFonts w:ascii="Arial" w:hAnsi="Arial" w:cs="Arial"/>
          <w:sz w:val="20"/>
          <w:szCs w:val="22"/>
        </w:rPr>
        <w:t xml:space="preserve"> </w:t>
      </w:r>
      <w:r w:rsidRPr="00926A56">
        <w:rPr>
          <w:rFonts w:ascii="Arial" w:hAnsi="Arial" w:cs="Arial"/>
          <w:sz w:val="22"/>
          <w:szCs w:val="22"/>
        </w:rPr>
        <w:t>à l</w:t>
      </w:r>
      <w:r>
        <w:rPr>
          <w:rFonts w:ascii="Arial" w:hAnsi="Arial" w:cs="Arial"/>
          <w:sz w:val="22"/>
          <w:szCs w:val="22"/>
        </w:rPr>
        <w:t xml:space="preserve">’unanimité des membres présents </w:t>
      </w:r>
      <w:r w:rsidRPr="00926A56">
        <w:rPr>
          <w:rFonts w:ascii="Arial" w:hAnsi="Arial" w:cs="Arial"/>
          <w:sz w:val="22"/>
          <w:szCs w:val="22"/>
        </w:rPr>
        <w:t>Ou</w:t>
      </w:r>
      <w:bookmarkStart w:id="0" w:name="Texte7"/>
      <w:bookmarkEnd w:id="0"/>
      <w:r w:rsidR="00517828">
        <w:rPr>
          <w:rFonts w:ascii="Arial" w:hAnsi="Arial" w:cs="Arial"/>
          <w:sz w:val="22"/>
          <w:szCs w:val="22"/>
        </w:rPr>
        <w:t xml:space="preserve"> à ………… voix pour, à ………… voix contre, </w:t>
      </w:r>
      <w:r w:rsidRPr="00926A56">
        <w:rPr>
          <w:rFonts w:ascii="Arial" w:hAnsi="Arial" w:cs="Arial"/>
          <w:sz w:val="22"/>
          <w:szCs w:val="22"/>
        </w:rPr>
        <w:t>à ………… abstentions</w:t>
      </w:r>
      <w:bookmarkStart w:id="1" w:name="Texte8"/>
      <w:bookmarkEnd w:id="1"/>
    </w:p>
    <w:p w:rsidR="00517828" w:rsidRDefault="00517828" w:rsidP="0090243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902431" w:rsidRPr="00902431" w:rsidRDefault="00902431" w:rsidP="0090243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902431">
        <w:rPr>
          <w:rFonts w:ascii="Arial" w:hAnsi="Arial" w:cs="Arial"/>
          <w:sz w:val="20"/>
          <w:szCs w:val="22"/>
        </w:rPr>
        <w:t>Fait à …………, le …………</w:t>
      </w:r>
    </w:p>
    <w:p w:rsidR="00902431" w:rsidRPr="00A7462C" w:rsidRDefault="00902431" w:rsidP="00902431">
      <w:pPr>
        <w:pStyle w:val="NormalWeb"/>
        <w:spacing w:before="0" w:beforeAutospacing="0" w:after="0" w:afterAutospacing="0"/>
        <w:ind w:left="6804"/>
        <w:rPr>
          <w:rFonts w:ascii="Arial" w:hAnsi="Arial" w:cs="Arial"/>
          <w:sz w:val="22"/>
        </w:rPr>
      </w:pPr>
    </w:p>
    <w:p w:rsidR="00902431" w:rsidRPr="00A7462C" w:rsidRDefault="00902431" w:rsidP="00902431">
      <w:pPr>
        <w:pStyle w:val="NormalWeb"/>
        <w:spacing w:before="0" w:beforeAutospacing="0" w:after="0" w:afterAutospacing="0"/>
        <w:ind w:left="142"/>
        <w:rPr>
          <w:rFonts w:ascii="Arial" w:hAnsi="Arial" w:cs="Arial"/>
          <w:sz w:val="20"/>
          <w:szCs w:val="20"/>
        </w:rPr>
      </w:pPr>
      <w:bookmarkStart w:id="2" w:name="Texte9"/>
      <w:bookmarkEnd w:id="2"/>
      <w:r w:rsidRPr="00A7462C">
        <w:rPr>
          <w:rFonts w:ascii="Arial" w:hAnsi="Arial" w:cs="Arial"/>
          <w:sz w:val="20"/>
          <w:szCs w:val="20"/>
        </w:rPr>
        <w:t xml:space="preserve">Le </w:t>
      </w:r>
      <w:r w:rsidRPr="007D55DE">
        <w:rPr>
          <w:rFonts w:ascii="Arial" w:hAnsi="Arial" w:cs="Arial"/>
          <w:sz w:val="20"/>
          <w:szCs w:val="20"/>
          <w:highlight w:val="yellow"/>
        </w:rPr>
        <w:t>Maire / Président</w:t>
      </w:r>
    </w:p>
    <w:p w:rsidR="00902431" w:rsidRDefault="00902431" w:rsidP="00902431">
      <w:pPr>
        <w:pStyle w:val="NormalWeb"/>
        <w:spacing w:before="0" w:beforeAutospacing="0" w:after="0" w:afterAutospacing="0"/>
        <w:ind w:left="142"/>
        <w:rPr>
          <w:rFonts w:ascii="Arial" w:hAnsi="Arial" w:cs="Arial"/>
          <w:sz w:val="20"/>
          <w:szCs w:val="20"/>
          <w:u w:val="single"/>
        </w:rPr>
      </w:pPr>
      <w:r w:rsidRPr="00A7462C">
        <w:rPr>
          <w:rFonts w:ascii="Arial" w:hAnsi="Arial" w:cs="Arial"/>
          <w:sz w:val="20"/>
          <w:szCs w:val="20"/>
          <w:u w:val="single"/>
        </w:rPr>
        <w:t>Nom et prénom</w:t>
      </w:r>
    </w:p>
    <w:p w:rsidR="00902431" w:rsidRPr="00A7462C" w:rsidRDefault="00902431" w:rsidP="00902431">
      <w:pPr>
        <w:pStyle w:val="NormalWeb"/>
        <w:spacing w:before="0" w:beforeAutospacing="0" w:after="0" w:afterAutospacing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Signature</w:t>
      </w:r>
    </w:p>
    <w:p w:rsidR="00902431" w:rsidRPr="00A7462C" w:rsidRDefault="00902431" w:rsidP="0090243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02431" w:rsidRPr="00A7462C" w:rsidRDefault="00902431" w:rsidP="0090243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7462C">
        <w:rPr>
          <w:rFonts w:ascii="Arial" w:hAnsi="Arial" w:cs="Arial"/>
          <w:b/>
          <w:bCs/>
          <w:sz w:val="20"/>
          <w:szCs w:val="20"/>
        </w:rPr>
        <w:t xml:space="preserve">Transmis au représentant de l’État le : </w:t>
      </w:r>
      <w:r w:rsidRPr="00A7462C">
        <w:rPr>
          <w:rFonts w:ascii="Arial" w:hAnsi="Arial" w:cs="Arial"/>
          <w:sz w:val="20"/>
          <w:szCs w:val="20"/>
        </w:rPr>
        <w:t>…………</w:t>
      </w:r>
    </w:p>
    <w:p w:rsidR="00902431" w:rsidRPr="00926A56" w:rsidRDefault="00902431" w:rsidP="00902431">
      <w:pPr>
        <w:pStyle w:val="Corpsdetexte"/>
        <w:tabs>
          <w:tab w:val="clear" w:pos="3675"/>
          <w:tab w:val="clear" w:pos="5625"/>
          <w:tab w:val="clear" w:pos="7050"/>
        </w:tabs>
        <w:rPr>
          <w:rFonts w:ascii="Arial" w:hAnsi="Arial" w:cs="Arial"/>
          <w:b/>
          <w:bCs/>
          <w:sz w:val="20"/>
        </w:rPr>
      </w:pPr>
      <w:r w:rsidRPr="00926A56">
        <w:rPr>
          <w:rFonts w:ascii="Arial" w:hAnsi="Arial" w:cs="Arial"/>
          <w:b/>
          <w:bCs/>
          <w:sz w:val="20"/>
        </w:rPr>
        <w:t>Publiée le …………</w:t>
      </w:r>
    </w:p>
    <w:p w:rsidR="00517828" w:rsidRDefault="00517828" w:rsidP="00902431">
      <w:pPr>
        <w:jc w:val="center"/>
        <w:rPr>
          <w:rFonts w:ascii="Arial" w:hAnsi="Arial" w:cs="Arial"/>
          <w:b/>
          <w:sz w:val="28"/>
          <w:szCs w:val="28"/>
        </w:rPr>
      </w:pPr>
    </w:p>
    <w:p w:rsidR="00517828" w:rsidRDefault="00517828" w:rsidP="00902431">
      <w:pPr>
        <w:jc w:val="center"/>
        <w:rPr>
          <w:rFonts w:ascii="Arial" w:hAnsi="Arial" w:cs="Arial"/>
          <w:b/>
          <w:sz w:val="28"/>
          <w:szCs w:val="28"/>
        </w:rPr>
      </w:pPr>
    </w:p>
    <w:p w:rsidR="00902431" w:rsidRDefault="00902431" w:rsidP="00902431">
      <w:pPr>
        <w:jc w:val="center"/>
        <w:rPr>
          <w:rFonts w:ascii="Arial" w:hAnsi="Arial" w:cs="Arial"/>
          <w:b/>
          <w:sz w:val="28"/>
          <w:szCs w:val="28"/>
        </w:rPr>
      </w:pPr>
      <w:bookmarkStart w:id="3" w:name="_GoBack"/>
      <w:bookmarkEnd w:id="3"/>
      <w:r w:rsidRPr="00902431">
        <w:rPr>
          <w:rFonts w:ascii="Arial" w:hAnsi="Arial" w:cs="Arial"/>
          <w:b/>
          <w:sz w:val="28"/>
          <w:szCs w:val="28"/>
        </w:rPr>
        <w:lastRenderedPageBreak/>
        <w:t>DEFINITION DU TEMPS DE TRAVAIL</w:t>
      </w:r>
    </w:p>
    <w:p w:rsidR="00902431" w:rsidRDefault="00902431" w:rsidP="0073001A">
      <w:pPr>
        <w:tabs>
          <w:tab w:val="left" w:pos="1770"/>
        </w:tabs>
        <w:rPr>
          <w:rFonts w:ascii="Arial" w:hAnsi="Arial" w:cs="Arial"/>
        </w:rPr>
      </w:pPr>
    </w:p>
    <w:p w:rsidR="00902431" w:rsidRPr="00902431" w:rsidRDefault="00902431" w:rsidP="0073001A">
      <w:pPr>
        <w:tabs>
          <w:tab w:val="left" w:pos="1770"/>
        </w:tabs>
        <w:rPr>
          <w:rFonts w:ascii="Arial" w:hAnsi="Arial" w:cs="Arial"/>
          <w:b/>
        </w:rPr>
      </w:pPr>
      <w:r w:rsidRPr="00902431">
        <w:rPr>
          <w:rFonts w:ascii="Arial" w:hAnsi="Arial" w:cs="Arial"/>
          <w:b/>
        </w:rPr>
        <w:t>Préambule</w:t>
      </w:r>
    </w:p>
    <w:p w:rsidR="00902431" w:rsidRPr="003A33EA" w:rsidRDefault="00902431" w:rsidP="00902431">
      <w:pPr>
        <w:pStyle w:val="VuConsidrant"/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 xml:space="preserve">La définition, la durée et l’aménagement du temps de travail des agents territoriaux sont fixés par l’organe délibérant, après avis du </w:t>
      </w:r>
      <w:r w:rsidR="008D0014">
        <w:rPr>
          <w:sz w:val="22"/>
          <w:szCs w:val="22"/>
        </w:rPr>
        <w:t>Comité Social Territorial</w:t>
      </w:r>
      <w:r w:rsidRPr="003A33EA">
        <w:rPr>
          <w:sz w:val="22"/>
          <w:szCs w:val="22"/>
        </w:rPr>
        <w:t>. Par ailleurs, le travail est organisé selon des périodes de référence appelées cycles de travail.</w:t>
      </w:r>
    </w:p>
    <w:p w:rsidR="00902431" w:rsidRPr="003A33EA" w:rsidRDefault="00902431" w:rsidP="00902431">
      <w:pPr>
        <w:pStyle w:val="VuConsidrant"/>
        <w:spacing w:after="0"/>
        <w:rPr>
          <w:sz w:val="22"/>
          <w:szCs w:val="22"/>
        </w:rPr>
      </w:pPr>
    </w:p>
    <w:p w:rsidR="00902431" w:rsidRPr="003A33EA" w:rsidRDefault="00902431" w:rsidP="00902431">
      <w:pPr>
        <w:pStyle w:val="VuConsidrant"/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>Les horaires de travail sont définis à l'intérieur du cycle, qui peut varier entre le cycle hebdomadaire et le cycle annuel.</w:t>
      </w:r>
    </w:p>
    <w:p w:rsidR="00902431" w:rsidRPr="003A33EA" w:rsidRDefault="00902431" w:rsidP="00902431">
      <w:pPr>
        <w:pStyle w:val="VuConsidrant"/>
        <w:spacing w:after="0"/>
        <w:rPr>
          <w:sz w:val="22"/>
          <w:szCs w:val="22"/>
        </w:rPr>
      </w:pPr>
    </w:p>
    <w:p w:rsidR="00902431" w:rsidRPr="003A33EA" w:rsidRDefault="00902431" w:rsidP="00902431">
      <w:pPr>
        <w:pStyle w:val="VuConsidrant"/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>Le décompte du temps de travail effectif s’effectue sur l’année, la durée annuelle de travail ne pouvant excéder 1607 heures, sans préjudice des heures supplémentaires susceptibles d’être accomplies.</w:t>
      </w:r>
    </w:p>
    <w:p w:rsidR="00902431" w:rsidRPr="003A33EA" w:rsidRDefault="00902431" w:rsidP="00902431">
      <w:pPr>
        <w:pStyle w:val="VuConsidrant"/>
        <w:spacing w:after="0"/>
        <w:rPr>
          <w:sz w:val="22"/>
          <w:szCs w:val="22"/>
        </w:rPr>
      </w:pPr>
    </w:p>
    <w:p w:rsidR="003A33EA" w:rsidRDefault="00902431" w:rsidP="003A33EA">
      <w:pPr>
        <w:tabs>
          <w:tab w:val="left" w:pos="1770"/>
        </w:tabs>
        <w:rPr>
          <w:rFonts w:ascii="Arial" w:hAnsi="Arial" w:cs="Arial"/>
          <w:b/>
        </w:rPr>
      </w:pPr>
      <w:r w:rsidRPr="00902431">
        <w:rPr>
          <w:rFonts w:ascii="Arial" w:hAnsi="Arial" w:cs="Arial"/>
          <w:b/>
        </w:rPr>
        <w:t>1. Dispositions générales sur le temps de travail</w:t>
      </w:r>
    </w:p>
    <w:p w:rsidR="003A33EA" w:rsidRPr="003A33EA" w:rsidRDefault="003A33EA" w:rsidP="003A33EA">
      <w:pPr>
        <w:tabs>
          <w:tab w:val="left" w:pos="1770"/>
        </w:tabs>
        <w:rPr>
          <w:rFonts w:ascii="Arial" w:hAnsi="Arial" w:cs="Arial"/>
          <w:b/>
        </w:rPr>
      </w:pPr>
      <w:r w:rsidRPr="003A33EA">
        <w:rPr>
          <w:rFonts w:ascii="Arial" w:hAnsi="Arial" w:cs="Arial"/>
        </w:rPr>
        <w:t>La durée annuelle légale de travail pour un agent travaillant à temps complet est fixée à 1.607 heures (soit 35 heures hebdomadaires) calculée de la façon suivante :</w:t>
      </w:r>
    </w:p>
    <w:p w:rsidR="003A33EA" w:rsidRPr="003A33EA" w:rsidRDefault="003A33EA" w:rsidP="003A33EA">
      <w:pPr>
        <w:pStyle w:val="VuConsidrant"/>
        <w:spacing w:after="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241"/>
      </w:tblGrid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A33EA">
              <w:rPr>
                <w:rFonts w:eastAsia="Calibri"/>
                <w:b/>
                <w:sz w:val="22"/>
                <w:szCs w:val="22"/>
              </w:rPr>
              <w:t>Nombre total de jours sur l’année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365</w:t>
            </w:r>
          </w:p>
        </w:tc>
      </w:tr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Repos hebdomadaires : 2 jours x 52 semaines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numPr>
                <w:ilvl w:val="0"/>
                <w:numId w:val="4"/>
              </w:numPr>
              <w:spacing w:after="0"/>
              <w:ind w:left="0" w:hanging="196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104</w:t>
            </w:r>
          </w:p>
        </w:tc>
      </w:tr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Congés annuels : 5 fois les obligations hebdomadaires de travail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numPr>
                <w:ilvl w:val="0"/>
                <w:numId w:val="4"/>
              </w:numPr>
              <w:spacing w:after="0"/>
              <w:ind w:left="34" w:hanging="142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Jours fériés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numPr>
                <w:ilvl w:val="0"/>
                <w:numId w:val="4"/>
              </w:numPr>
              <w:spacing w:after="0"/>
              <w:ind w:left="34" w:hanging="142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A33EA">
              <w:rPr>
                <w:rFonts w:eastAsia="Calibri"/>
                <w:b/>
                <w:sz w:val="22"/>
                <w:szCs w:val="22"/>
              </w:rPr>
              <w:t>Nombre de jours travaillés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= 228</w:t>
            </w:r>
          </w:p>
        </w:tc>
      </w:tr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Nombre de jours travaillées = Nb de jours x 7 heures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1596 h</w:t>
            </w:r>
          </w:p>
          <w:p w:rsidR="003A33EA" w:rsidRPr="003A33EA" w:rsidRDefault="003A33EA" w:rsidP="00847EFD">
            <w:pPr>
              <w:pStyle w:val="VuConsidrant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3A33EA">
              <w:rPr>
                <w:rFonts w:eastAsia="Calibri"/>
                <w:sz w:val="22"/>
                <w:szCs w:val="22"/>
              </w:rPr>
              <w:t>arrondi</w:t>
            </w:r>
            <w:proofErr w:type="gramEnd"/>
            <w:r w:rsidRPr="003A33EA">
              <w:rPr>
                <w:rFonts w:eastAsia="Calibri"/>
                <w:sz w:val="22"/>
                <w:szCs w:val="22"/>
              </w:rPr>
              <w:t xml:space="preserve"> à 1 600 h</w:t>
            </w:r>
          </w:p>
        </w:tc>
      </w:tr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+ Journée de solidarité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+ 7 h</w:t>
            </w:r>
          </w:p>
        </w:tc>
      </w:tr>
      <w:tr w:rsidR="003A33EA" w:rsidRPr="003A33EA" w:rsidTr="00847EFD">
        <w:trPr>
          <w:trHeight w:val="340"/>
        </w:trPr>
        <w:tc>
          <w:tcPr>
            <w:tcW w:w="6635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3A33EA">
              <w:rPr>
                <w:rFonts w:eastAsia="Calibri"/>
                <w:b/>
                <w:sz w:val="22"/>
                <w:szCs w:val="22"/>
              </w:rPr>
              <w:t>Total en heures :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A33EA" w:rsidRPr="003A33EA" w:rsidRDefault="003A33EA" w:rsidP="00847EFD">
            <w:pPr>
              <w:pStyle w:val="VuConsidrant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33EA">
              <w:rPr>
                <w:rFonts w:eastAsia="Calibri"/>
                <w:sz w:val="22"/>
                <w:szCs w:val="22"/>
              </w:rPr>
              <w:t>1 607 heures</w:t>
            </w:r>
          </w:p>
        </w:tc>
      </w:tr>
    </w:tbl>
    <w:p w:rsidR="003A33EA" w:rsidRPr="003A33EA" w:rsidRDefault="003A33EA" w:rsidP="003A33EA">
      <w:pPr>
        <w:pStyle w:val="VuConsidrant"/>
        <w:spacing w:after="0"/>
        <w:rPr>
          <w:sz w:val="22"/>
          <w:szCs w:val="22"/>
        </w:rPr>
      </w:pPr>
    </w:p>
    <w:p w:rsidR="003A33EA" w:rsidRPr="003A33EA" w:rsidRDefault="003A33EA" w:rsidP="003A33EA">
      <w:pPr>
        <w:pStyle w:val="VuConsidrant"/>
        <w:numPr>
          <w:ilvl w:val="0"/>
          <w:numId w:val="3"/>
        </w:numPr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 xml:space="preserve">La durée quotidienne de travail d'un agent ne peut excéder 10 heures ; </w:t>
      </w:r>
    </w:p>
    <w:p w:rsidR="003A33EA" w:rsidRPr="003A33EA" w:rsidRDefault="003A33EA" w:rsidP="003A33EA">
      <w:pPr>
        <w:pStyle w:val="VuConsidrant"/>
        <w:spacing w:after="0"/>
        <w:ind w:left="360"/>
        <w:rPr>
          <w:sz w:val="22"/>
          <w:szCs w:val="22"/>
        </w:rPr>
      </w:pPr>
    </w:p>
    <w:p w:rsidR="003A33EA" w:rsidRPr="003A33EA" w:rsidRDefault="003A33EA" w:rsidP="003A33EA">
      <w:pPr>
        <w:pStyle w:val="VuConsidrant"/>
        <w:numPr>
          <w:ilvl w:val="0"/>
          <w:numId w:val="3"/>
        </w:numPr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 xml:space="preserve">Aucun temps de travail ne peut atteindre 6 heures consécutives de travail sans que les agents ne bénéficient d’une pause dont la durée doit être au minimum de 20 minutes ; </w:t>
      </w:r>
    </w:p>
    <w:p w:rsidR="003A33EA" w:rsidRPr="003A33EA" w:rsidRDefault="003A33EA" w:rsidP="003A33EA">
      <w:pPr>
        <w:pStyle w:val="VuConsidrant"/>
        <w:spacing w:after="0"/>
        <w:rPr>
          <w:sz w:val="22"/>
          <w:szCs w:val="22"/>
        </w:rPr>
      </w:pPr>
    </w:p>
    <w:p w:rsidR="003A33EA" w:rsidRPr="003A33EA" w:rsidRDefault="003A33EA" w:rsidP="003A33EA">
      <w:pPr>
        <w:pStyle w:val="VuConsidrant"/>
        <w:numPr>
          <w:ilvl w:val="0"/>
          <w:numId w:val="3"/>
        </w:numPr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>L’amplitude de la journée de travail ne peut dépasser 12 heures ;</w:t>
      </w:r>
    </w:p>
    <w:p w:rsidR="003A33EA" w:rsidRPr="00246A0D" w:rsidRDefault="003A33EA" w:rsidP="003A33EA">
      <w:pPr>
        <w:pStyle w:val="VuConsidrant"/>
        <w:spacing w:after="0"/>
        <w:rPr>
          <w:rFonts w:ascii="Tahoma" w:hAnsi="Tahoma" w:cs="Tahoma"/>
          <w:sz w:val="22"/>
          <w:szCs w:val="22"/>
        </w:rPr>
      </w:pPr>
    </w:p>
    <w:p w:rsidR="003A33EA" w:rsidRPr="003A33EA" w:rsidRDefault="003A33EA" w:rsidP="003A33EA">
      <w:pPr>
        <w:pStyle w:val="VuConsidrant"/>
        <w:numPr>
          <w:ilvl w:val="0"/>
          <w:numId w:val="3"/>
        </w:numPr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 xml:space="preserve">Les agents doivent bénéficier d’un repos journalier de 11 heures au minimum ; </w:t>
      </w:r>
    </w:p>
    <w:p w:rsidR="003A33EA" w:rsidRPr="003A33EA" w:rsidRDefault="003A33EA" w:rsidP="003A33EA">
      <w:pPr>
        <w:pStyle w:val="VuConsidrant"/>
        <w:spacing w:after="0"/>
        <w:rPr>
          <w:sz w:val="22"/>
          <w:szCs w:val="22"/>
        </w:rPr>
      </w:pPr>
    </w:p>
    <w:p w:rsidR="003A33EA" w:rsidRPr="003A33EA" w:rsidRDefault="003A33EA" w:rsidP="003A33EA">
      <w:pPr>
        <w:pStyle w:val="VuConsidrant"/>
        <w:numPr>
          <w:ilvl w:val="0"/>
          <w:numId w:val="3"/>
        </w:numPr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>Le temps de travail hebdomadaire, heures supplémentaires comprises, ne peut dépasser 48 heures par semaine, ni 44 heures en moyenne sur une période de 12 semaines consécutives ;</w:t>
      </w:r>
    </w:p>
    <w:p w:rsidR="003A33EA" w:rsidRPr="003A33EA" w:rsidRDefault="003A33EA" w:rsidP="003A33EA">
      <w:pPr>
        <w:pStyle w:val="VuConsidrant"/>
        <w:spacing w:after="0"/>
        <w:ind w:left="360"/>
        <w:rPr>
          <w:sz w:val="22"/>
          <w:szCs w:val="22"/>
        </w:rPr>
      </w:pPr>
    </w:p>
    <w:p w:rsidR="003A33EA" w:rsidRDefault="003A33EA" w:rsidP="003A33EA">
      <w:pPr>
        <w:tabs>
          <w:tab w:val="left" w:pos="1770"/>
        </w:tabs>
        <w:jc w:val="both"/>
        <w:rPr>
          <w:rFonts w:ascii="Arial" w:hAnsi="Arial" w:cs="Arial"/>
        </w:rPr>
      </w:pPr>
      <w:r w:rsidRPr="003A33EA">
        <w:rPr>
          <w:rFonts w:ascii="Arial" w:hAnsi="Arial" w:cs="Arial"/>
        </w:rPr>
        <w:t>Les agents doivent disposer d’un repos hebdomadaire d’une durée au moins égale à 35 heures et comprenant en principe le dimanche.</w:t>
      </w:r>
    </w:p>
    <w:p w:rsidR="00902431" w:rsidRPr="003A33EA" w:rsidRDefault="00517828" w:rsidP="0073001A">
      <w:pPr>
        <w:tabs>
          <w:tab w:val="left" w:pos="17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A33EA" w:rsidRPr="003A33EA">
        <w:rPr>
          <w:rFonts w:ascii="Arial" w:hAnsi="Arial" w:cs="Arial"/>
          <w:b/>
        </w:rPr>
        <w:t xml:space="preserve">. Fixation de la durée hebdomadaire de travail </w:t>
      </w:r>
    </w:p>
    <w:p w:rsidR="003A33EA" w:rsidRPr="008D0014" w:rsidRDefault="003A33EA" w:rsidP="003A33EA">
      <w:pPr>
        <w:pStyle w:val="VuConsidrant"/>
        <w:spacing w:after="0"/>
        <w:rPr>
          <w:rFonts w:ascii="Tahoma" w:hAnsi="Tahoma" w:cs="Tahoma"/>
          <w:bCs/>
          <w:sz w:val="22"/>
          <w:szCs w:val="22"/>
        </w:rPr>
      </w:pPr>
      <w:r w:rsidRPr="008D0014">
        <w:rPr>
          <w:rFonts w:ascii="Tahoma" w:hAnsi="Tahoma" w:cs="Tahoma"/>
          <w:bCs/>
          <w:sz w:val="22"/>
          <w:szCs w:val="22"/>
        </w:rPr>
        <w:t xml:space="preserve">Le temps de travail hebdomadaire en vigueur au sein de la </w:t>
      </w:r>
      <w:r w:rsidRPr="008D0014">
        <w:rPr>
          <w:rFonts w:ascii="Tahoma" w:hAnsi="Tahoma" w:cs="Tahoma"/>
          <w:bCs/>
          <w:sz w:val="22"/>
          <w:szCs w:val="22"/>
          <w:highlight w:val="yellow"/>
        </w:rPr>
        <w:t xml:space="preserve">commune </w:t>
      </w:r>
      <w:r w:rsidR="008D0014" w:rsidRPr="008D0014">
        <w:rPr>
          <w:rFonts w:ascii="Tahoma" w:hAnsi="Tahoma" w:cs="Tahoma"/>
          <w:bCs/>
          <w:sz w:val="22"/>
          <w:szCs w:val="22"/>
          <w:highlight w:val="yellow"/>
        </w:rPr>
        <w:t xml:space="preserve">ou </w:t>
      </w:r>
      <w:r w:rsidRPr="008D0014">
        <w:rPr>
          <w:rFonts w:ascii="Tahoma" w:hAnsi="Tahoma" w:cs="Tahoma"/>
          <w:bCs/>
          <w:sz w:val="22"/>
          <w:szCs w:val="22"/>
          <w:highlight w:val="yellow"/>
        </w:rPr>
        <w:t>l’établissement</w:t>
      </w:r>
      <w:r w:rsidRPr="008D0014">
        <w:rPr>
          <w:rFonts w:ascii="Tahoma" w:hAnsi="Tahoma" w:cs="Tahoma"/>
          <w:bCs/>
          <w:sz w:val="22"/>
          <w:szCs w:val="22"/>
        </w:rPr>
        <w:t xml:space="preserve"> est fixé à </w:t>
      </w:r>
      <w:r w:rsidR="004C130F" w:rsidRPr="008D0014">
        <w:rPr>
          <w:rFonts w:ascii="Tahoma" w:hAnsi="Tahoma" w:cs="Tahoma"/>
          <w:bCs/>
          <w:sz w:val="22"/>
          <w:szCs w:val="22"/>
        </w:rPr>
        <w:t>35 heures</w:t>
      </w:r>
      <w:r w:rsidRPr="008D0014">
        <w:rPr>
          <w:rFonts w:ascii="Tahoma" w:hAnsi="Tahoma" w:cs="Tahoma"/>
          <w:bCs/>
          <w:sz w:val="22"/>
          <w:szCs w:val="22"/>
        </w:rPr>
        <w:t xml:space="preserve"> par semaine pour l’ensemble des agents</w:t>
      </w:r>
      <w:r w:rsidR="007D55DE" w:rsidRPr="008D0014">
        <w:rPr>
          <w:rFonts w:ascii="Tahoma" w:hAnsi="Tahoma" w:cs="Tahoma"/>
          <w:bCs/>
          <w:sz w:val="22"/>
          <w:szCs w:val="22"/>
        </w:rPr>
        <w:t xml:space="preserve"> à temps complet</w:t>
      </w:r>
      <w:r w:rsidRPr="008D0014">
        <w:rPr>
          <w:rFonts w:ascii="Tahoma" w:hAnsi="Tahoma" w:cs="Tahoma"/>
          <w:bCs/>
          <w:sz w:val="22"/>
          <w:szCs w:val="22"/>
        </w:rPr>
        <w:t>.</w:t>
      </w:r>
    </w:p>
    <w:p w:rsidR="007D55DE" w:rsidRDefault="007D55DE" w:rsidP="003A33EA">
      <w:pPr>
        <w:pStyle w:val="VuConsidrant"/>
        <w:spacing w:after="0"/>
        <w:rPr>
          <w:rFonts w:ascii="Tahoma" w:hAnsi="Tahoma" w:cs="Tahoma"/>
          <w:bCs/>
          <w:sz w:val="22"/>
          <w:szCs w:val="22"/>
        </w:rPr>
      </w:pPr>
    </w:p>
    <w:p w:rsidR="007D55DE" w:rsidRPr="00246A0D" w:rsidRDefault="007D55DE" w:rsidP="003A33EA">
      <w:pPr>
        <w:pStyle w:val="VuConsidrant"/>
        <w:spacing w:after="0"/>
        <w:rPr>
          <w:rFonts w:ascii="Tahoma" w:hAnsi="Tahoma" w:cs="Tahoma"/>
          <w:bCs/>
          <w:sz w:val="22"/>
          <w:szCs w:val="22"/>
        </w:rPr>
      </w:pPr>
      <w:bookmarkStart w:id="4" w:name="_Hlk126501921"/>
      <w:r>
        <w:rPr>
          <w:rFonts w:ascii="Tahoma" w:hAnsi="Tahoma" w:cs="Tahoma"/>
          <w:bCs/>
          <w:sz w:val="22"/>
          <w:szCs w:val="22"/>
        </w:rPr>
        <w:t>Le temps de travail des agents à temps non complet est calculé sur la base X/35</w:t>
      </w:r>
      <w:r w:rsidRPr="007D55DE">
        <w:rPr>
          <w:rFonts w:ascii="Tahoma" w:hAnsi="Tahoma" w:cs="Tahoma"/>
          <w:bCs/>
          <w:sz w:val="22"/>
          <w:szCs w:val="22"/>
          <w:vertAlign w:val="superscript"/>
        </w:rPr>
        <w:t>ème</w:t>
      </w:r>
      <w:r>
        <w:rPr>
          <w:rFonts w:ascii="Tahoma" w:hAnsi="Tahoma" w:cs="Tahoma"/>
          <w:bCs/>
          <w:sz w:val="22"/>
          <w:szCs w:val="22"/>
        </w:rPr>
        <w:t>.</w:t>
      </w:r>
      <w:bookmarkEnd w:id="4"/>
    </w:p>
    <w:p w:rsidR="003A33EA" w:rsidRPr="00246A0D" w:rsidRDefault="003A33EA" w:rsidP="003A33EA">
      <w:pPr>
        <w:pStyle w:val="VuConsidrant"/>
        <w:spacing w:after="0"/>
        <w:rPr>
          <w:rFonts w:ascii="Tahoma" w:hAnsi="Tahoma" w:cs="Tahoma"/>
          <w:bCs/>
          <w:sz w:val="22"/>
          <w:szCs w:val="22"/>
        </w:rPr>
      </w:pPr>
    </w:p>
    <w:p w:rsidR="003A33EA" w:rsidRPr="00246A0D" w:rsidRDefault="003A33EA" w:rsidP="003A33EA">
      <w:pPr>
        <w:pStyle w:val="VuConsidrant"/>
        <w:spacing w:after="0"/>
        <w:rPr>
          <w:rFonts w:ascii="Tahoma" w:hAnsi="Tahoma" w:cs="Tahoma"/>
          <w:bCs/>
          <w:sz w:val="22"/>
          <w:szCs w:val="22"/>
        </w:rPr>
      </w:pPr>
      <w:r w:rsidRPr="00246A0D">
        <w:rPr>
          <w:rFonts w:ascii="Tahoma" w:hAnsi="Tahoma" w:cs="Tahoma"/>
          <w:bCs/>
          <w:sz w:val="22"/>
          <w:szCs w:val="22"/>
        </w:rPr>
        <w:t xml:space="preserve">Compte-tenu de la durée hebdomadaire de travail choisie, les agents </w:t>
      </w:r>
      <w:r w:rsidRPr="008D0014">
        <w:rPr>
          <w:rFonts w:ascii="Tahoma" w:hAnsi="Tahoma" w:cs="Tahoma"/>
          <w:bCs/>
          <w:iCs/>
          <w:sz w:val="22"/>
          <w:szCs w:val="22"/>
          <w:highlight w:val="yellow"/>
        </w:rPr>
        <w:t>bénéficieront / ne bénéficieront</w:t>
      </w:r>
      <w:r w:rsidRPr="008D0014">
        <w:rPr>
          <w:rFonts w:ascii="Tahoma" w:hAnsi="Tahoma" w:cs="Tahoma"/>
          <w:bCs/>
          <w:sz w:val="22"/>
          <w:szCs w:val="22"/>
          <w:highlight w:val="yellow"/>
        </w:rPr>
        <w:t xml:space="preserve"> </w:t>
      </w:r>
      <w:r w:rsidRPr="008D0014">
        <w:rPr>
          <w:rFonts w:ascii="Tahoma" w:hAnsi="Tahoma" w:cs="Tahoma"/>
          <w:bCs/>
          <w:iCs/>
          <w:sz w:val="22"/>
          <w:szCs w:val="22"/>
          <w:highlight w:val="yellow"/>
        </w:rPr>
        <w:t>pas</w:t>
      </w:r>
      <w:r w:rsidRPr="00246A0D">
        <w:rPr>
          <w:rFonts w:ascii="Tahoma" w:hAnsi="Tahoma" w:cs="Tahoma"/>
          <w:bCs/>
          <w:sz w:val="22"/>
          <w:szCs w:val="22"/>
        </w:rPr>
        <w:t xml:space="preserve"> de jours de réduction de temps de travail (ARTT).</w:t>
      </w:r>
    </w:p>
    <w:p w:rsidR="003A33EA" w:rsidRDefault="003A33EA" w:rsidP="0073001A">
      <w:pPr>
        <w:tabs>
          <w:tab w:val="left" w:pos="1770"/>
        </w:tabs>
        <w:rPr>
          <w:rFonts w:ascii="Arial" w:hAnsi="Arial" w:cs="Arial"/>
        </w:rPr>
      </w:pPr>
    </w:p>
    <w:p w:rsidR="003A33EA" w:rsidRPr="00517828" w:rsidRDefault="00660C96" w:rsidP="003A33EA">
      <w:pPr>
        <w:pStyle w:val="VuConsidrant"/>
        <w:spacing w:after="0"/>
        <w:rPr>
          <w:bCs/>
          <w:i/>
          <w:color w:val="002060"/>
          <w:sz w:val="22"/>
          <w:szCs w:val="22"/>
        </w:rPr>
      </w:pPr>
      <w:r w:rsidRPr="004279C1">
        <w:rPr>
          <w:b/>
          <w:bCs/>
          <w:i/>
          <w:color w:val="002060"/>
          <w:sz w:val="22"/>
          <w:szCs w:val="22"/>
          <w:highlight w:val="yellow"/>
        </w:rPr>
        <w:t xml:space="preserve">A RETIRER SI </w:t>
      </w:r>
      <w:r w:rsidR="004279C1" w:rsidRPr="004279C1">
        <w:rPr>
          <w:b/>
          <w:bCs/>
          <w:i/>
          <w:color w:val="002060"/>
          <w:sz w:val="22"/>
          <w:szCs w:val="22"/>
          <w:highlight w:val="yellow"/>
        </w:rPr>
        <w:t>NON CONCERNE OU A COMPLETER</w:t>
      </w:r>
      <w:r>
        <w:rPr>
          <w:b/>
          <w:bCs/>
          <w:i/>
          <w:color w:val="002060"/>
          <w:sz w:val="22"/>
          <w:szCs w:val="22"/>
        </w:rPr>
        <w:t xml:space="preserve"> </w:t>
      </w:r>
      <w:r w:rsidR="003A33EA" w:rsidRPr="00517828">
        <w:rPr>
          <w:bCs/>
          <w:i/>
          <w:color w:val="002060"/>
          <w:sz w:val="22"/>
          <w:szCs w:val="22"/>
        </w:rPr>
        <w:t>En cas de durée supérieure à 35h et d’ARTT, précisez le nombre de RTT et les modalités de pose des jours de RTT : exemple, 39h = 23 jours, 38h=18 jours, 37h30 = 15 jours…</w:t>
      </w:r>
    </w:p>
    <w:p w:rsidR="003A33EA" w:rsidRPr="00517828" w:rsidRDefault="003A33EA" w:rsidP="003A33EA">
      <w:pPr>
        <w:pStyle w:val="VuConsidrant"/>
        <w:spacing w:after="0"/>
        <w:rPr>
          <w:bCs/>
          <w:i/>
          <w:color w:val="002060"/>
          <w:sz w:val="22"/>
          <w:szCs w:val="22"/>
        </w:rPr>
      </w:pPr>
      <w:r w:rsidRPr="00517828">
        <w:rPr>
          <w:bCs/>
          <w:i/>
          <w:color w:val="002060"/>
          <w:sz w:val="22"/>
          <w:szCs w:val="22"/>
        </w:rPr>
        <w:t>Les RTT seront posées librement ou liquidation imposée selon une période spécifique, un nombre limité ou des nécessités de service….</w:t>
      </w:r>
    </w:p>
    <w:p w:rsidR="003A33EA" w:rsidRDefault="003A33EA" w:rsidP="0073001A">
      <w:pPr>
        <w:tabs>
          <w:tab w:val="left" w:pos="1770"/>
        </w:tabs>
        <w:rPr>
          <w:rFonts w:ascii="Arial" w:hAnsi="Arial" w:cs="Arial"/>
        </w:rPr>
      </w:pPr>
    </w:p>
    <w:p w:rsidR="00902431" w:rsidRPr="00902431" w:rsidRDefault="00517828" w:rsidP="0073001A">
      <w:pPr>
        <w:tabs>
          <w:tab w:val="left" w:pos="17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02431" w:rsidRPr="00902431">
        <w:rPr>
          <w:rFonts w:ascii="Arial" w:hAnsi="Arial" w:cs="Arial"/>
          <w:b/>
        </w:rPr>
        <w:t>. Cycle de travail et annualisation</w:t>
      </w:r>
    </w:p>
    <w:p w:rsidR="00517828" w:rsidRDefault="00517828" w:rsidP="00517828">
      <w:pPr>
        <w:pStyle w:val="VuConsidrant"/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 xml:space="preserve">Le temps de travail peut également être annualisé notamment pour les services alternant des périodes de haute activité et de faible activité. </w:t>
      </w:r>
    </w:p>
    <w:p w:rsidR="007D55DE" w:rsidRDefault="007D55DE" w:rsidP="00517828">
      <w:pPr>
        <w:pStyle w:val="VuConsidrant"/>
        <w:spacing w:after="0"/>
        <w:rPr>
          <w:sz w:val="22"/>
          <w:szCs w:val="22"/>
        </w:rPr>
      </w:pPr>
    </w:p>
    <w:p w:rsidR="007D55DE" w:rsidRDefault="007D55DE" w:rsidP="00517828">
      <w:pPr>
        <w:pStyle w:val="VuConsidrant"/>
        <w:spacing w:after="0"/>
        <w:rPr>
          <w:sz w:val="22"/>
          <w:szCs w:val="22"/>
        </w:rPr>
      </w:pPr>
      <w:r w:rsidRPr="007D55DE">
        <w:rPr>
          <w:i/>
          <w:sz w:val="22"/>
          <w:szCs w:val="22"/>
          <w:highlight w:val="yellow"/>
        </w:rPr>
        <w:t>Le cas échéant</w:t>
      </w:r>
      <w:r>
        <w:rPr>
          <w:sz w:val="22"/>
          <w:szCs w:val="22"/>
          <w:highlight w:val="yellow"/>
        </w:rPr>
        <w:t xml:space="preserve"> </w:t>
      </w:r>
      <w:r w:rsidRPr="007D55DE">
        <w:rPr>
          <w:sz w:val="22"/>
          <w:szCs w:val="22"/>
          <w:highlight w:val="yellow"/>
        </w:rPr>
        <w:t>Tel n’est pas le cas dans la collectivité</w:t>
      </w:r>
    </w:p>
    <w:p w:rsidR="00517828" w:rsidRPr="003A33EA" w:rsidRDefault="00517828" w:rsidP="00517828">
      <w:pPr>
        <w:pStyle w:val="VuConsidrant"/>
        <w:spacing w:after="0"/>
        <w:rPr>
          <w:sz w:val="22"/>
          <w:szCs w:val="22"/>
        </w:rPr>
      </w:pPr>
    </w:p>
    <w:p w:rsidR="00517828" w:rsidRPr="003A33EA" w:rsidRDefault="00517828" w:rsidP="00517828">
      <w:pPr>
        <w:pStyle w:val="VuConsidrant"/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>Dans ce cadre, l’annualisation du temps de travail répond à un double objectif :</w:t>
      </w:r>
    </w:p>
    <w:p w:rsidR="00517828" w:rsidRPr="003A33EA" w:rsidRDefault="00517828" w:rsidP="00517828">
      <w:pPr>
        <w:pStyle w:val="VuConsidrant"/>
        <w:numPr>
          <w:ilvl w:val="0"/>
          <w:numId w:val="2"/>
        </w:numPr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>Répartir le temps de travail des agents pendant les périodes de forte activité et le libérer pendant les périodes d’inactivité ou de faible activité</w:t>
      </w:r>
    </w:p>
    <w:p w:rsidR="00517828" w:rsidRPr="003A33EA" w:rsidRDefault="00517828" w:rsidP="00517828">
      <w:pPr>
        <w:pStyle w:val="VuConsidrant"/>
        <w:numPr>
          <w:ilvl w:val="0"/>
          <w:numId w:val="2"/>
        </w:numPr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>Maintenir une rémunération identique tout au long de l’année, c’est-à-dire y compris pendant les périodes d’inactivité ou de faible activité</w:t>
      </w:r>
    </w:p>
    <w:p w:rsidR="00517828" w:rsidRDefault="00517828" w:rsidP="00517828">
      <w:pPr>
        <w:tabs>
          <w:tab w:val="left" w:pos="1770"/>
        </w:tabs>
        <w:rPr>
          <w:rFonts w:ascii="Arial" w:hAnsi="Arial" w:cs="Arial"/>
        </w:rPr>
      </w:pPr>
    </w:p>
    <w:p w:rsidR="003A33EA" w:rsidRPr="003A33EA" w:rsidRDefault="003A33EA" w:rsidP="003A33EA">
      <w:pPr>
        <w:pStyle w:val="VuConsidrant"/>
        <w:spacing w:after="0"/>
        <w:rPr>
          <w:sz w:val="22"/>
          <w:szCs w:val="22"/>
        </w:rPr>
      </w:pPr>
      <w:r w:rsidRPr="003A33EA">
        <w:rPr>
          <w:sz w:val="22"/>
          <w:szCs w:val="22"/>
        </w:rPr>
        <w:t xml:space="preserve">Dans le respect du cadre légal et réglementaire relatif au temps de travail, l’organisation du cycle </w:t>
      </w:r>
      <w:r w:rsidRPr="003A33EA">
        <w:rPr>
          <w:i/>
          <w:sz w:val="22"/>
          <w:szCs w:val="22"/>
        </w:rPr>
        <w:t>(ou des cycles)</w:t>
      </w:r>
      <w:r w:rsidRPr="003A33EA">
        <w:rPr>
          <w:sz w:val="22"/>
          <w:szCs w:val="22"/>
        </w:rPr>
        <w:t xml:space="preserve"> de travail au sein des services de … </w:t>
      </w:r>
      <w:r w:rsidRPr="003A33EA">
        <w:rPr>
          <w:i/>
          <w:sz w:val="22"/>
          <w:szCs w:val="22"/>
        </w:rPr>
        <w:t>(commune, établissement)</w:t>
      </w:r>
      <w:r w:rsidRPr="003A33EA">
        <w:rPr>
          <w:sz w:val="22"/>
          <w:szCs w:val="22"/>
        </w:rPr>
        <w:t xml:space="preserve"> est fixée comme suit :</w:t>
      </w:r>
    </w:p>
    <w:p w:rsidR="003A33EA" w:rsidRPr="003A33EA" w:rsidRDefault="003A33EA" w:rsidP="003A33EA">
      <w:pPr>
        <w:pStyle w:val="VuConsidrant"/>
        <w:spacing w:after="0"/>
        <w:rPr>
          <w:i/>
          <w:sz w:val="22"/>
          <w:szCs w:val="22"/>
        </w:rPr>
      </w:pPr>
    </w:p>
    <w:p w:rsidR="003A33EA" w:rsidRPr="003A33EA" w:rsidRDefault="003A33EA" w:rsidP="003A33EA">
      <w:pPr>
        <w:pStyle w:val="VuConsidrant"/>
        <w:spacing w:after="0"/>
        <w:rPr>
          <w:bCs/>
          <w:i/>
          <w:color w:val="002060"/>
          <w:sz w:val="22"/>
          <w:szCs w:val="22"/>
        </w:rPr>
      </w:pPr>
      <w:r w:rsidRPr="00517828">
        <w:rPr>
          <w:bCs/>
          <w:i/>
          <w:color w:val="002060"/>
          <w:sz w:val="22"/>
          <w:szCs w:val="22"/>
          <w:highlight w:val="yellow"/>
        </w:rPr>
        <w:t xml:space="preserve">Précisez l’organisation spécifique de la collectivité, (par service le cas </w:t>
      </w:r>
      <w:proofErr w:type="gramStart"/>
      <w:r w:rsidRPr="00517828">
        <w:rPr>
          <w:bCs/>
          <w:i/>
          <w:color w:val="002060"/>
          <w:sz w:val="22"/>
          <w:szCs w:val="22"/>
          <w:highlight w:val="yellow"/>
        </w:rPr>
        <w:t>échéant) :</w:t>
      </w:r>
      <w:r w:rsidR="00517828" w:rsidRPr="00517828">
        <w:rPr>
          <w:bCs/>
          <w:i/>
          <w:color w:val="002060"/>
          <w:sz w:val="22"/>
          <w:szCs w:val="22"/>
          <w:highlight w:val="yellow"/>
        </w:rPr>
        <w:t>…</w:t>
      </w:r>
      <w:proofErr w:type="gramEnd"/>
      <w:r w:rsidR="00517828" w:rsidRPr="00517828">
        <w:rPr>
          <w:bCs/>
          <w:i/>
          <w:color w:val="002060"/>
          <w:sz w:val="22"/>
          <w:szCs w:val="22"/>
          <w:highlight w:val="yellow"/>
        </w:rPr>
        <w:t>……………………..</w:t>
      </w:r>
    </w:p>
    <w:p w:rsidR="00902431" w:rsidRDefault="00902431" w:rsidP="0073001A">
      <w:pPr>
        <w:tabs>
          <w:tab w:val="left" w:pos="1770"/>
        </w:tabs>
        <w:rPr>
          <w:rFonts w:ascii="Arial" w:hAnsi="Arial" w:cs="Arial"/>
        </w:rPr>
      </w:pPr>
    </w:p>
    <w:p w:rsidR="00902431" w:rsidRDefault="00517828" w:rsidP="0073001A">
      <w:pPr>
        <w:tabs>
          <w:tab w:val="left" w:pos="17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02431" w:rsidRPr="00902431">
        <w:rPr>
          <w:rFonts w:ascii="Arial" w:hAnsi="Arial" w:cs="Arial"/>
          <w:b/>
        </w:rPr>
        <w:t>. Jour de solidarité</w:t>
      </w:r>
    </w:p>
    <w:p w:rsidR="003A33EA" w:rsidRDefault="003A33EA" w:rsidP="003A33EA">
      <w:pPr>
        <w:pStyle w:val="VuConsidrant"/>
        <w:spacing w:after="0"/>
        <w:rPr>
          <w:rFonts w:ascii="Tahoma" w:hAnsi="Tahoma" w:cs="Tahoma"/>
          <w:b/>
          <w:i/>
          <w:iCs/>
          <w:color w:val="002060"/>
          <w:sz w:val="22"/>
          <w:szCs w:val="22"/>
        </w:rPr>
      </w:pPr>
      <w:r w:rsidRPr="00246A0D">
        <w:rPr>
          <w:rFonts w:ascii="Tahoma" w:hAnsi="Tahoma" w:cs="Tahoma"/>
          <w:iCs/>
          <w:sz w:val="22"/>
          <w:szCs w:val="22"/>
        </w:rPr>
        <w:t xml:space="preserve">Compte tenu de la durée hebdomadaire de travail choisie, la journée de solidarité, afin d’assurer le financement des actions en faveur de l’autonomie des personnes âgées ou handicapées, sera instituée </w:t>
      </w:r>
      <w:r w:rsidRPr="00246A0D">
        <w:rPr>
          <w:rFonts w:ascii="Tahoma" w:hAnsi="Tahoma" w:cs="Tahoma"/>
          <w:iCs/>
          <w:color w:val="002060"/>
          <w:sz w:val="22"/>
          <w:szCs w:val="22"/>
        </w:rPr>
        <w:t xml:space="preserve">: </w:t>
      </w:r>
      <w:r w:rsidRPr="00517828">
        <w:rPr>
          <w:b/>
          <w:i/>
          <w:iCs/>
          <w:color w:val="002060"/>
          <w:sz w:val="22"/>
          <w:szCs w:val="22"/>
          <w:highlight w:val="yellow"/>
        </w:rPr>
        <w:t>(au choix)</w:t>
      </w:r>
    </w:p>
    <w:p w:rsidR="00517828" w:rsidRDefault="00517828" w:rsidP="003A33EA">
      <w:pPr>
        <w:pStyle w:val="VuConsidrant"/>
        <w:spacing w:after="0"/>
        <w:rPr>
          <w:rFonts w:ascii="Tahoma" w:hAnsi="Tahoma" w:cs="Tahoma"/>
          <w:b/>
          <w:i/>
          <w:iCs/>
          <w:color w:val="002060"/>
          <w:sz w:val="22"/>
          <w:szCs w:val="22"/>
        </w:rPr>
      </w:pPr>
    </w:p>
    <w:p w:rsidR="00517828" w:rsidRDefault="00517828" w:rsidP="00517828">
      <w:pPr>
        <w:pStyle w:val="Paragraphedeliste"/>
        <w:widowControl w:val="0"/>
        <w:numPr>
          <w:ilvl w:val="0"/>
          <w:numId w:val="4"/>
        </w:numPr>
        <w:tabs>
          <w:tab w:val="left" w:pos="540"/>
        </w:tabs>
        <w:jc w:val="both"/>
        <w:rPr>
          <w:rFonts w:ascii="Arial" w:hAnsi="Arial" w:cs="Arial"/>
        </w:rPr>
      </w:pPr>
      <w:r w:rsidRPr="00517828">
        <w:rPr>
          <w:rFonts w:ascii="Arial" w:hAnsi="Arial" w:cs="Arial"/>
        </w:rPr>
        <w:t>Le travail d’un jour férié précédemment chômé autre que le 1er mai</w:t>
      </w:r>
      <w:r w:rsidR="004279C1">
        <w:rPr>
          <w:rFonts w:ascii="Arial" w:hAnsi="Arial" w:cs="Arial"/>
        </w:rPr>
        <w:t xml:space="preserve"> : </w:t>
      </w:r>
      <w:r w:rsidR="004279C1" w:rsidRPr="004279C1">
        <w:rPr>
          <w:rFonts w:ascii="Arial" w:hAnsi="Arial" w:cs="Arial"/>
          <w:highlight w:val="yellow"/>
        </w:rPr>
        <w:t>…</w:t>
      </w:r>
      <w:proofErr w:type="gramStart"/>
      <w:r w:rsidR="004279C1" w:rsidRPr="004279C1">
        <w:rPr>
          <w:rFonts w:ascii="Arial" w:hAnsi="Arial" w:cs="Arial"/>
          <w:highlight w:val="yellow"/>
        </w:rPr>
        <w:t>…….</w:t>
      </w:r>
      <w:proofErr w:type="gramEnd"/>
      <w:r w:rsidR="004279C1" w:rsidRPr="004279C1">
        <w:rPr>
          <w:rFonts w:ascii="Arial" w:hAnsi="Arial" w:cs="Arial"/>
          <w:highlight w:val="yellow"/>
        </w:rPr>
        <w:t>.(à préciser)</w:t>
      </w:r>
    </w:p>
    <w:p w:rsidR="00517828" w:rsidRPr="007D55DE" w:rsidRDefault="00517828" w:rsidP="00517828">
      <w:pPr>
        <w:pStyle w:val="Paragraphedeliste"/>
        <w:widowControl w:val="0"/>
        <w:numPr>
          <w:ilvl w:val="0"/>
          <w:numId w:val="4"/>
        </w:numPr>
        <w:tabs>
          <w:tab w:val="left" w:pos="540"/>
        </w:tabs>
        <w:jc w:val="both"/>
        <w:rPr>
          <w:rFonts w:ascii="Arial" w:hAnsi="Arial" w:cs="Arial"/>
          <w:i/>
          <w:highlight w:val="yellow"/>
        </w:rPr>
      </w:pPr>
      <w:r w:rsidRPr="00517828">
        <w:rPr>
          <w:rFonts w:ascii="Arial" w:hAnsi="Arial" w:cs="Arial"/>
        </w:rPr>
        <w:t>Le travail d’un jour de réduction du temps de travail tel que prévu par les règles en vigueur,</w:t>
      </w:r>
      <w:r w:rsidR="004C130F">
        <w:rPr>
          <w:rFonts w:ascii="Arial" w:hAnsi="Arial" w:cs="Arial"/>
        </w:rPr>
        <w:t xml:space="preserve"> </w:t>
      </w:r>
      <w:r w:rsidR="004C130F" w:rsidRPr="007D55DE">
        <w:rPr>
          <w:rFonts w:ascii="Arial" w:hAnsi="Arial" w:cs="Arial"/>
          <w:i/>
          <w:highlight w:val="yellow"/>
        </w:rPr>
        <w:t>(ne concerne pas les agents qui ne bénéficient pas de jours RTT)</w:t>
      </w:r>
    </w:p>
    <w:p w:rsidR="00902431" w:rsidRPr="00517828" w:rsidRDefault="00517828" w:rsidP="00517828">
      <w:pPr>
        <w:pStyle w:val="Paragraphedeliste"/>
        <w:widowControl w:val="0"/>
        <w:numPr>
          <w:ilvl w:val="0"/>
          <w:numId w:val="4"/>
        </w:numPr>
        <w:tabs>
          <w:tab w:val="left" w:pos="540"/>
        </w:tabs>
        <w:jc w:val="both"/>
        <w:rPr>
          <w:rFonts w:ascii="Arial" w:hAnsi="Arial" w:cs="Arial"/>
        </w:rPr>
      </w:pPr>
      <w:r w:rsidRPr="00517828">
        <w:rPr>
          <w:rFonts w:ascii="Arial" w:hAnsi="Arial" w:cs="Arial"/>
        </w:rPr>
        <w:t xml:space="preserve">Toute autre modalité permettant le travail de sept heures précédemment non travaillées, </w:t>
      </w:r>
      <w:r>
        <w:rPr>
          <w:rFonts w:ascii="Arial" w:hAnsi="Arial" w:cs="Arial"/>
        </w:rPr>
        <w:t xml:space="preserve">à l’exclusion d’une journée de congé annuel. </w:t>
      </w:r>
      <w:r w:rsidR="00660C96" w:rsidRPr="00387F71">
        <w:rPr>
          <w:rFonts w:ascii="Arial" w:hAnsi="Arial" w:cs="Arial"/>
        </w:rPr>
        <w:t>Ce temps est proratisé pour les agents à temps non complet et à temps partiel.</w:t>
      </w:r>
    </w:p>
    <w:p w:rsidR="00902431" w:rsidRPr="00902431" w:rsidRDefault="00517828" w:rsidP="0073001A">
      <w:pPr>
        <w:tabs>
          <w:tab w:val="left" w:pos="17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C130F">
        <w:rPr>
          <w:rFonts w:ascii="Arial" w:hAnsi="Arial" w:cs="Arial"/>
          <w:b/>
        </w:rPr>
        <w:t>. M</w:t>
      </w:r>
      <w:r w:rsidR="00902431" w:rsidRPr="00902431">
        <w:rPr>
          <w:rFonts w:ascii="Arial" w:hAnsi="Arial" w:cs="Arial"/>
          <w:b/>
        </w:rPr>
        <w:t>odification</w:t>
      </w:r>
    </w:p>
    <w:p w:rsidR="00517828" w:rsidRPr="0073001A" w:rsidRDefault="00517828">
      <w:pPr>
        <w:tabs>
          <w:tab w:val="left" w:pos="17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Toute modification ultérieure sera soumise à l’approbation du conseil </w:t>
      </w:r>
      <w:r w:rsidRPr="008D0014">
        <w:rPr>
          <w:rFonts w:ascii="Arial" w:hAnsi="Arial" w:cs="Arial"/>
          <w:highlight w:val="yellow"/>
        </w:rPr>
        <w:t>municipal</w:t>
      </w:r>
      <w:r w:rsidR="00660C96" w:rsidRPr="008D0014">
        <w:rPr>
          <w:rFonts w:ascii="Arial" w:hAnsi="Arial" w:cs="Arial"/>
          <w:highlight w:val="yellow"/>
        </w:rPr>
        <w:t>/sy</w:t>
      </w:r>
      <w:r w:rsidR="004279C1" w:rsidRPr="008D0014">
        <w:rPr>
          <w:rFonts w:ascii="Arial" w:hAnsi="Arial" w:cs="Arial"/>
          <w:highlight w:val="yellow"/>
        </w:rPr>
        <w:t>n</w:t>
      </w:r>
      <w:r w:rsidR="00660C96" w:rsidRPr="008D0014">
        <w:rPr>
          <w:rFonts w:ascii="Arial" w:hAnsi="Arial" w:cs="Arial"/>
          <w:highlight w:val="yellow"/>
        </w:rPr>
        <w:t xml:space="preserve">dical </w:t>
      </w:r>
      <w:r>
        <w:rPr>
          <w:rFonts w:ascii="Arial" w:hAnsi="Arial" w:cs="Arial"/>
        </w:rPr>
        <w:t xml:space="preserve">et </w:t>
      </w:r>
      <w:r w:rsidR="00660C96">
        <w:rPr>
          <w:rFonts w:ascii="Arial" w:hAnsi="Arial" w:cs="Arial"/>
        </w:rPr>
        <w:t xml:space="preserve">à l’avis préalable </w:t>
      </w:r>
      <w:r>
        <w:rPr>
          <w:rFonts w:ascii="Arial" w:hAnsi="Arial" w:cs="Arial"/>
        </w:rPr>
        <w:t xml:space="preserve">du </w:t>
      </w:r>
      <w:r w:rsidR="00660C96">
        <w:rPr>
          <w:rFonts w:ascii="Arial" w:hAnsi="Arial" w:cs="Arial"/>
        </w:rPr>
        <w:t>C</w:t>
      </w:r>
      <w:r>
        <w:rPr>
          <w:rFonts w:ascii="Arial" w:hAnsi="Arial" w:cs="Arial"/>
        </w:rPr>
        <w:t>omité</w:t>
      </w:r>
      <w:r w:rsidR="00660C96">
        <w:rPr>
          <w:rFonts w:ascii="Arial" w:hAnsi="Arial" w:cs="Arial"/>
        </w:rPr>
        <w:t xml:space="preserve"> Social Territorial placé auprès du Centre de Gestion de la Côte d’Or</w:t>
      </w:r>
      <w:r>
        <w:rPr>
          <w:rFonts w:ascii="Arial" w:hAnsi="Arial" w:cs="Arial"/>
        </w:rPr>
        <w:t xml:space="preserve">. </w:t>
      </w:r>
    </w:p>
    <w:sectPr w:rsidR="00517828" w:rsidRPr="0073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95B"/>
    <w:multiLevelType w:val="hybridMultilevel"/>
    <w:tmpl w:val="EF44B664"/>
    <w:lvl w:ilvl="0" w:tplc="26587C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F3178"/>
    <w:multiLevelType w:val="hybridMultilevel"/>
    <w:tmpl w:val="2E3AC0A8"/>
    <w:lvl w:ilvl="0" w:tplc="26587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538"/>
    <w:multiLevelType w:val="multilevel"/>
    <w:tmpl w:val="C5F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00"/>
    <w:rsid w:val="00242EBB"/>
    <w:rsid w:val="002D1F3E"/>
    <w:rsid w:val="002F6A14"/>
    <w:rsid w:val="00373996"/>
    <w:rsid w:val="003A33EA"/>
    <w:rsid w:val="004279C1"/>
    <w:rsid w:val="004818E2"/>
    <w:rsid w:val="004C130F"/>
    <w:rsid w:val="00517828"/>
    <w:rsid w:val="005568D9"/>
    <w:rsid w:val="00660C96"/>
    <w:rsid w:val="00726C9D"/>
    <w:rsid w:val="0073001A"/>
    <w:rsid w:val="007D55DE"/>
    <w:rsid w:val="008D0014"/>
    <w:rsid w:val="00902431"/>
    <w:rsid w:val="00BE334F"/>
    <w:rsid w:val="00C62FE5"/>
    <w:rsid w:val="00CC5400"/>
    <w:rsid w:val="00DF41B0"/>
    <w:rsid w:val="00E344EC"/>
    <w:rsid w:val="00F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B1422-B18E-421E-ACD9-4CE5484D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semiHidden/>
    <w:rsid w:val="0073001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73001A"/>
    <w:rPr>
      <w:rFonts w:ascii="Courier New" w:eastAsia="Times New Roman" w:hAnsi="Courier New" w:cs="Times New Roman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73001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Default">
    <w:name w:val="Default"/>
    <w:rsid w:val="007300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902431"/>
    <w:pPr>
      <w:tabs>
        <w:tab w:val="left" w:pos="3675"/>
        <w:tab w:val="center" w:leader="underscore" w:pos="5625"/>
        <w:tab w:val="right" w:leader="underscore" w:pos="705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0243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90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1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Genelot</dc:creator>
  <cp:keywords/>
  <dc:description/>
  <cp:lastModifiedBy>Christine Bagolin</cp:lastModifiedBy>
  <cp:revision>2</cp:revision>
  <dcterms:created xsi:type="dcterms:W3CDTF">2023-02-06T10:30:00Z</dcterms:created>
  <dcterms:modified xsi:type="dcterms:W3CDTF">2023-02-06T10:30:00Z</dcterms:modified>
</cp:coreProperties>
</file>